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4"/>
        <w:gridCol w:w="986"/>
      </w:tblGrid>
      <w:tr>
        <w:trPr>
          <w:trHeight w:val="1125" w:hRule="atLeast"/>
        </w:trPr>
        <w:tc>
          <w:tcPr>
            <w:tcW w:w="9630" w:type="dxa"/>
            <w:gridSpan w:val="2"/>
            <w:shd w:val="clear" w:color="auto" w:fill="2D487A"/>
          </w:tcPr>
          <w:p>
            <w:pPr>
              <w:pStyle w:val="TableParagraph"/>
              <w:spacing w:before="172"/>
              <w:ind w:left="909" w:right="595" w:hanging="286"/>
              <w:rPr>
                <w:b/>
                <w:sz w:val="32"/>
              </w:rPr>
            </w:pPr>
            <w:r>
              <w:rPr>
                <w:b/>
                <w:i/>
                <w:color w:val="FFFFFF"/>
                <w:sz w:val="32"/>
              </w:rPr>
              <w:t>CHECK LIST </w:t>
            </w:r>
            <w:r>
              <w:rPr>
                <w:b/>
                <w:color w:val="FFFFFF"/>
                <w:sz w:val="32"/>
              </w:rPr>
              <w:t>INDIRIZZI OPERATIVI NAZIONALI DPCM 17.05.2020</w:t>
            </w:r>
            <w:r>
              <w:rPr>
                <w:b/>
                <w:color w:val="FFFFFF"/>
                <w:sz w:val="32"/>
                <w:vertAlign w:val="superscript"/>
              </w:rPr>
              <w:t>1</w:t>
            </w:r>
            <w:r>
              <w:rPr>
                <w:b/>
                <w:color w:val="FFFFFF"/>
                <w:sz w:val="32"/>
                <w:vertAlign w:val="baseline"/>
              </w:rPr>
              <w:t> MISURE DI PREVENZIONE PER GLI STABILIMENTI BALNEARI</w:t>
            </w:r>
          </w:p>
        </w:tc>
      </w:tr>
      <w:tr>
        <w:trPr>
          <w:trHeight w:val="1879" w:hRule="atLeast"/>
        </w:trPr>
        <w:tc>
          <w:tcPr>
            <w:tcW w:w="8644" w:type="dxa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color w:val="1F3863"/>
                <w:sz w:val="22"/>
                <w:u w:val="single" w:color="1F3863"/>
              </w:rPr>
              <w:t>Informazione</w:t>
            </w:r>
          </w:p>
          <w:p>
            <w:pPr>
              <w:pStyle w:val="TableParagraph"/>
              <w:ind w:left="110" w:right="91"/>
              <w:jc w:val="both"/>
              <w:rPr>
                <w:sz w:val="22"/>
              </w:rPr>
            </w:pPr>
            <w:r>
              <w:rPr>
                <w:color w:val="1F3863"/>
                <w:sz w:val="22"/>
              </w:rPr>
              <w:t>Predisporre un</w:t>
            </w:r>
            <w:r>
              <w:rPr>
                <w:rFonts w:ascii="Trebuchet MS" w:hAnsi="Trebuchet MS"/>
                <w:color w:val="1F3863"/>
                <w:sz w:val="22"/>
              </w:rPr>
              <w:t>’</w:t>
            </w:r>
            <w:r>
              <w:rPr>
                <w:color w:val="1F3863"/>
                <w:sz w:val="22"/>
              </w:rPr>
              <w:t>adeguata </w:t>
            </w:r>
            <w:r>
              <w:rPr>
                <w:b/>
                <w:color w:val="1F3863"/>
                <w:sz w:val="22"/>
              </w:rPr>
              <w:t>informazione </w:t>
            </w:r>
            <w:r>
              <w:rPr>
                <w:color w:val="1F3863"/>
                <w:sz w:val="22"/>
              </w:rPr>
              <w:t>sulle misure di prevenzione, comprensibile anche per i </w:t>
            </w:r>
            <w:r>
              <w:rPr>
                <w:color w:val="1F3863"/>
                <w:w w:val="95"/>
                <w:sz w:val="22"/>
              </w:rPr>
              <w:t>clienti</w:t>
            </w:r>
            <w:r>
              <w:rPr>
                <w:color w:val="1F3863"/>
                <w:spacing w:val="-12"/>
                <w:w w:val="95"/>
                <w:sz w:val="22"/>
              </w:rPr>
              <w:t> </w:t>
            </w:r>
            <w:r>
              <w:rPr>
                <w:color w:val="1F3863"/>
                <w:w w:val="95"/>
                <w:sz w:val="22"/>
              </w:rPr>
              <w:t>di</w:t>
            </w:r>
            <w:r>
              <w:rPr>
                <w:color w:val="1F3863"/>
                <w:spacing w:val="-11"/>
                <w:w w:val="95"/>
                <w:sz w:val="22"/>
              </w:rPr>
              <w:t> </w:t>
            </w:r>
            <w:r>
              <w:rPr>
                <w:color w:val="1F3863"/>
                <w:w w:val="95"/>
                <w:sz w:val="22"/>
              </w:rPr>
              <w:t>altra</w:t>
            </w:r>
            <w:r>
              <w:rPr>
                <w:color w:val="1F3863"/>
                <w:spacing w:val="-11"/>
                <w:w w:val="95"/>
                <w:sz w:val="22"/>
              </w:rPr>
              <w:t> </w:t>
            </w:r>
            <w:r>
              <w:rPr>
                <w:color w:val="1F3863"/>
                <w:w w:val="95"/>
                <w:sz w:val="22"/>
              </w:rPr>
              <w:t>nazionalità.</w:t>
            </w:r>
            <w:r>
              <w:rPr>
                <w:color w:val="1F3863"/>
                <w:spacing w:val="-11"/>
                <w:w w:val="95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5"/>
                <w:sz w:val="22"/>
              </w:rPr>
              <w:t>Si</w:t>
            </w:r>
            <w:r>
              <w:rPr>
                <w:rFonts w:ascii="Trebuchet MS" w:hAnsi="Trebuchet MS"/>
                <w:color w:val="1F3863"/>
                <w:spacing w:val="-27"/>
                <w:w w:val="95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5"/>
                <w:sz w:val="22"/>
              </w:rPr>
              <w:t>promuove,</w:t>
            </w:r>
            <w:r>
              <w:rPr>
                <w:rFonts w:ascii="Trebuchet MS" w:hAnsi="Trebuchet MS"/>
                <w:color w:val="1F3863"/>
                <w:spacing w:val="-28"/>
                <w:w w:val="95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5"/>
                <w:sz w:val="22"/>
              </w:rPr>
              <w:t>a</w:t>
            </w:r>
            <w:r>
              <w:rPr>
                <w:rFonts w:ascii="Trebuchet MS" w:hAnsi="Trebuchet MS"/>
                <w:color w:val="1F3863"/>
                <w:spacing w:val="-27"/>
                <w:w w:val="95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5"/>
                <w:sz w:val="22"/>
              </w:rPr>
              <w:t>tal</w:t>
            </w:r>
            <w:r>
              <w:rPr>
                <w:rFonts w:ascii="Trebuchet MS" w:hAnsi="Trebuchet MS"/>
                <w:color w:val="1F3863"/>
                <w:spacing w:val="-28"/>
                <w:w w:val="95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5"/>
                <w:sz w:val="22"/>
              </w:rPr>
              <w:t>proposito,</w:t>
            </w:r>
            <w:r>
              <w:rPr>
                <w:rFonts w:ascii="Trebuchet MS" w:hAnsi="Trebuchet MS"/>
                <w:color w:val="1F3863"/>
                <w:spacing w:val="-28"/>
                <w:w w:val="95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5"/>
                <w:sz w:val="22"/>
              </w:rPr>
              <w:t>l’accompagnamento</w:t>
            </w:r>
            <w:r>
              <w:rPr>
                <w:rFonts w:ascii="Trebuchet MS" w:hAnsi="Trebuchet MS"/>
                <w:color w:val="1F3863"/>
                <w:spacing w:val="-27"/>
                <w:w w:val="95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5"/>
                <w:sz w:val="22"/>
              </w:rPr>
              <w:t>all’ombrellone</w:t>
            </w:r>
            <w:r>
              <w:rPr>
                <w:rFonts w:ascii="Trebuchet MS" w:hAnsi="Trebuchet MS"/>
                <w:color w:val="1F3863"/>
                <w:spacing w:val="-27"/>
                <w:w w:val="95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5"/>
                <w:sz w:val="22"/>
              </w:rPr>
              <w:t>da </w:t>
            </w:r>
            <w:r>
              <w:rPr>
                <w:color w:val="1F3863"/>
                <w:sz w:val="22"/>
              </w:rPr>
              <w:t>parte di personale dello stabilimento adeguatamente preparato (</w:t>
            </w:r>
            <w:r>
              <w:rPr>
                <w:i/>
                <w:color w:val="1F3863"/>
                <w:sz w:val="22"/>
              </w:rPr>
              <w:t>steward </w:t>
            </w:r>
            <w:r>
              <w:rPr>
                <w:color w:val="1F3863"/>
                <w:sz w:val="22"/>
              </w:rPr>
              <w:t>di spiaggia) che illustri ai clienti le misure di prevenzione da</w:t>
            </w:r>
            <w:r>
              <w:rPr>
                <w:color w:val="1F3863"/>
                <w:spacing w:val="-10"/>
                <w:sz w:val="22"/>
              </w:rPr>
              <w:t> </w:t>
            </w:r>
            <w:r>
              <w:rPr>
                <w:color w:val="1F3863"/>
                <w:sz w:val="22"/>
              </w:rPr>
              <w:t>rispettare.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1F3863"/>
                <w:w w:val="100"/>
                <w:sz w:val="22"/>
              </w:rPr>
              <w:t></w:t>
            </w:r>
          </w:p>
        </w:tc>
      </w:tr>
      <w:tr>
        <w:trPr>
          <w:trHeight w:val="1343" w:hRule="atLeast"/>
        </w:trPr>
        <w:tc>
          <w:tcPr>
            <w:tcW w:w="8644" w:type="dxa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color w:val="1F3863"/>
                <w:sz w:val="22"/>
                <w:u w:val="single" w:color="1F3863"/>
              </w:rPr>
              <w:t>Prodotti igienizzanti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color w:val="1F3863"/>
                <w:sz w:val="22"/>
              </w:rPr>
              <w:t>Rendere disponibili </w:t>
            </w:r>
            <w:r>
              <w:rPr>
                <w:b/>
                <w:color w:val="1F3863"/>
                <w:sz w:val="22"/>
              </w:rPr>
              <w:t>igienizzanti </w:t>
            </w:r>
            <w:r>
              <w:rPr>
                <w:color w:val="1F3863"/>
                <w:sz w:val="22"/>
              </w:rPr>
              <w:t>mani per i clienti e per il personale anche in più punti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rFonts w:ascii="Trebuchet MS" w:hAnsi="Trebuchet MS"/>
                <w:color w:val="1F3863"/>
                <w:sz w:val="22"/>
              </w:rPr>
              <w:t>dell’impianto</w:t>
            </w:r>
            <w:r>
              <w:rPr>
                <w:color w:val="1F3863"/>
                <w:sz w:val="22"/>
              </w:rPr>
              <w:t>.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1F3863"/>
                <w:w w:val="100"/>
                <w:sz w:val="22"/>
              </w:rPr>
              <w:t></w:t>
            </w:r>
          </w:p>
        </w:tc>
      </w:tr>
      <w:tr>
        <w:trPr>
          <w:trHeight w:val="1343" w:hRule="atLeast"/>
        </w:trPr>
        <w:tc>
          <w:tcPr>
            <w:tcW w:w="8644" w:type="dxa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color w:val="1F3863"/>
                <w:sz w:val="22"/>
                <w:u w:val="single" w:color="1F3863"/>
              </w:rPr>
              <w:t>Prenotazioni</w:t>
            </w:r>
          </w:p>
          <w:p>
            <w:pPr>
              <w:pStyle w:val="TableParagraph"/>
              <w:ind w:left="11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color w:val="1F3863"/>
                <w:sz w:val="22"/>
              </w:rPr>
              <w:t>Privilegiare</w:t>
            </w:r>
            <w:r>
              <w:rPr>
                <w:rFonts w:ascii="Trebuchet MS" w:hAnsi="Trebuchet MS"/>
                <w:color w:val="1F3863"/>
                <w:spacing w:val="-14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sz w:val="22"/>
              </w:rPr>
              <w:t>l’accesso</w:t>
            </w:r>
            <w:r>
              <w:rPr>
                <w:rFonts w:ascii="Trebuchet MS" w:hAnsi="Trebuchet MS"/>
                <w:color w:val="1F3863"/>
                <w:spacing w:val="-11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sz w:val="22"/>
              </w:rPr>
              <w:t>agli</w:t>
            </w:r>
            <w:r>
              <w:rPr>
                <w:rFonts w:ascii="Trebuchet MS" w:hAnsi="Trebuchet MS"/>
                <w:color w:val="1F3863"/>
                <w:spacing w:val="-14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sz w:val="22"/>
              </w:rPr>
              <w:t>stabilimenti</w:t>
            </w:r>
            <w:r>
              <w:rPr>
                <w:rFonts w:ascii="Trebuchet MS" w:hAnsi="Trebuchet MS"/>
                <w:color w:val="1F3863"/>
                <w:spacing w:val="-13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sz w:val="22"/>
              </w:rPr>
              <w:t>tramite</w:t>
            </w:r>
            <w:r>
              <w:rPr>
                <w:rFonts w:ascii="Trebuchet MS" w:hAnsi="Trebuchet MS"/>
                <w:color w:val="1F3863"/>
                <w:spacing w:val="-11"/>
                <w:sz w:val="22"/>
              </w:rPr>
              <w:t> </w:t>
            </w:r>
            <w:r>
              <w:rPr>
                <w:b/>
                <w:color w:val="1F3863"/>
                <w:sz w:val="22"/>
              </w:rPr>
              <w:t>prenotazione</w:t>
            </w:r>
            <w:r>
              <w:rPr>
                <w:b/>
                <w:color w:val="1F3863"/>
                <w:spacing w:val="5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sz w:val="22"/>
              </w:rPr>
              <w:t>e</w:t>
            </w:r>
            <w:r>
              <w:rPr>
                <w:rFonts w:ascii="Trebuchet MS" w:hAnsi="Trebuchet MS"/>
                <w:color w:val="1F3863"/>
                <w:spacing w:val="-13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sz w:val="22"/>
              </w:rPr>
              <w:t>mantenere</w:t>
            </w:r>
            <w:r>
              <w:rPr>
                <w:rFonts w:ascii="Trebuchet MS" w:hAnsi="Trebuchet MS"/>
                <w:color w:val="1F3863"/>
                <w:spacing w:val="-12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sz w:val="22"/>
              </w:rPr>
              <w:t>l’elenco</w:t>
            </w:r>
            <w:r>
              <w:rPr>
                <w:rFonts w:ascii="Trebuchet MS" w:hAnsi="Trebuchet MS"/>
                <w:color w:val="1F3863"/>
                <w:spacing w:val="-12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sz w:val="22"/>
              </w:rPr>
              <w:t>delle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color w:val="1F3863"/>
                <w:sz w:val="22"/>
              </w:rPr>
              <w:t>presenze per un periodo di 14 gg.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1F3863"/>
                <w:w w:val="100"/>
                <w:sz w:val="22"/>
              </w:rPr>
              <w:t></w:t>
            </w:r>
          </w:p>
        </w:tc>
      </w:tr>
      <w:tr>
        <w:trPr>
          <w:trHeight w:val="1341" w:hRule="atLeast"/>
        </w:trPr>
        <w:tc>
          <w:tcPr>
            <w:tcW w:w="8644" w:type="dxa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color w:val="1F3863"/>
                <w:sz w:val="22"/>
                <w:u w:val="single" w:color="1F3863"/>
              </w:rPr>
              <w:t>Temperatura corporea clienti</w:t>
            </w:r>
          </w:p>
          <w:p>
            <w:pPr>
              <w:pStyle w:val="TableParagraph"/>
              <w:spacing w:before="4"/>
              <w:ind w:left="11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color w:val="1F3863"/>
                <w:w w:val="95"/>
                <w:sz w:val="22"/>
              </w:rPr>
              <w:t>Potrà</w:t>
            </w:r>
            <w:r>
              <w:rPr>
                <w:rFonts w:ascii="Trebuchet MS" w:hAnsi="Trebuchet MS"/>
                <w:color w:val="1F3863"/>
                <w:spacing w:val="-31"/>
                <w:w w:val="95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5"/>
                <w:sz w:val="22"/>
              </w:rPr>
              <w:t>essere</w:t>
            </w:r>
            <w:r>
              <w:rPr>
                <w:rFonts w:ascii="Trebuchet MS" w:hAnsi="Trebuchet MS"/>
                <w:color w:val="1F3863"/>
                <w:spacing w:val="-32"/>
                <w:w w:val="95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5"/>
                <w:sz w:val="22"/>
              </w:rPr>
              <w:t>rilevata</w:t>
            </w:r>
            <w:r>
              <w:rPr>
                <w:rFonts w:ascii="Trebuchet MS" w:hAnsi="Trebuchet MS"/>
                <w:color w:val="1F3863"/>
                <w:spacing w:val="-31"/>
                <w:w w:val="95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5"/>
                <w:sz w:val="22"/>
              </w:rPr>
              <w:t>la</w:t>
            </w:r>
            <w:r>
              <w:rPr>
                <w:rFonts w:ascii="Trebuchet MS" w:hAnsi="Trebuchet MS"/>
                <w:color w:val="1F3863"/>
                <w:spacing w:val="-32"/>
                <w:w w:val="95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5"/>
                <w:sz w:val="22"/>
              </w:rPr>
              <w:t>temperatura</w:t>
            </w:r>
            <w:r>
              <w:rPr>
                <w:rFonts w:ascii="Trebuchet MS" w:hAnsi="Trebuchet MS"/>
                <w:color w:val="1F3863"/>
                <w:spacing w:val="-31"/>
                <w:w w:val="95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5"/>
                <w:sz w:val="22"/>
              </w:rPr>
              <w:t>corporea,</w:t>
            </w:r>
            <w:r>
              <w:rPr>
                <w:rFonts w:ascii="Trebuchet MS" w:hAnsi="Trebuchet MS"/>
                <w:color w:val="1F3863"/>
                <w:spacing w:val="-31"/>
                <w:w w:val="95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5"/>
                <w:sz w:val="22"/>
              </w:rPr>
              <w:t>impedendo</w:t>
            </w:r>
            <w:r>
              <w:rPr>
                <w:rFonts w:ascii="Trebuchet MS" w:hAnsi="Trebuchet MS"/>
                <w:color w:val="1F3863"/>
                <w:spacing w:val="-30"/>
                <w:w w:val="95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5"/>
                <w:sz w:val="22"/>
              </w:rPr>
              <w:t>l’accesso</w:t>
            </w:r>
            <w:r>
              <w:rPr>
                <w:rFonts w:ascii="Trebuchet MS" w:hAnsi="Trebuchet MS"/>
                <w:color w:val="1F3863"/>
                <w:spacing w:val="-30"/>
                <w:w w:val="95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5"/>
                <w:sz w:val="22"/>
              </w:rPr>
              <w:t>in</w:t>
            </w:r>
            <w:r>
              <w:rPr>
                <w:rFonts w:ascii="Trebuchet MS" w:hAnsi="Trebuchet MS"/>
                <w:color w:val="1F3863"/>
                <w:spacing w:val="-31"/>
                <w:w w:val="95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5"/>
                <w:sz w:val="22"/>
              </w:rPr>
              <w:t>caso</w:t>
            </w:r>
            <w:r>
              <w:rPr>
                <w:rFonts w:ascii="Trebuchet MS" w:hAnsi="Trebuchet MS"/>
                <w:color w:val="1F3863"/>
                <w:spacing w:val="-30"/>
                <w:w w:val="95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5"/>
                <w:sz w:val="22"/>
              </w:rPr>
              <w:t>di</w:t>
            </w:r>
            <w:r>
              <w:rPr>
                <w:rFonts w:ascii="Trebuchet MS" w:hAnsi="Trebuchet MS"/>
                <w:color w:val="1F3863"/>
                <w:spacing w:val="-33"/>
                <w:w w:val="95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5"/>
                <w:sz w:val="22"/>
              </w:rPr>
              <w:t>temperatura</w:t>
            </w:r>
          </w:p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color w:val="1F3863"/>
                <w:sz w:val="22"/>
              </w:rPr>
              <w:t>&gt; 37,5 °C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1F3863"/>
                <w:w w:val="100"/>
                <w:sz w:val="22"/>
              </w:rPr>
              <w:t></w:t>
            </w:r>
          </w:p>
        </w:tc>
      </w:tr>
      <w:tr>
        <w:trPr>
          <w:trHeight w:val="1881" w:hRule="atLeast"/>
        </w:trPr>
        <w:tc>
          <w:tcPr>
            <w:tcW w:w="8644" w:type="dxa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0"/>
              <w:jc w:val="both"/>
              <w:rPr>
                <w:b/>
                <w:sz w:val="22"/>
              </w:rPr>
            </w:pPr>
            <w:r>
              <w:rPr>
                <w:b/>
                <w:color w:val="1F3863"/>
                <w:sz w:val="22"/>
                <w:u w:val="single" w:color="1F3863"/>
              </w:rPr>
              <w:t>Postazione cassa</w:t>
            </w:r>
          </w:p>
          <w:p>
            <w:pPr>
              <w:pStyle w:val="TableParagraph"/>
              <w:ind w:left="110" w:right="91"/>
              <w:jc w:val="both"/>
              <w:rPr>
                <w:sz w:val="22"/>
              </w:rPr>
            </w:pPr>
            <w:r>
              <w:rPr>
                <w:color w:val="1F3863"/>
                <w:sz w:val="22"/>
              </w:rPr>
              <w:t>La postazione dedicata alla cassa può essere dotata di barriere fisiche (es. schermi); in alternativa il personale deve indossare la </w:t>
            </w:r>
            <w:r>
              <w:rPr>
                <w:b/>
                <w:color w:val="1F3863"/>
                <w:sz w:val="22"/>
              </w:rPr>
              <w:t>mascherina </w:t>
            </w:r>
            <w:r>
              <w:rPr>
                <w:color w:val="1F3863"/>
                <w:sz w:val="22"/>
              </w:rPr>
              <w:t>e avere a disposizione gel </w:t>
            </w:r>
            <w:r>
              <w:rPr>
                <w:b/>
                <w:color w:val="1F3863"/>
                <w:sz w:val="22"/>
              </w:rPr>
              <w:t>igienizzante </w:t>
            </w:r>
            <w:r>
              <w:rPr>
                <w:color w:val="1F3863"/>
                <w:sz w:val="22"/>
              </w:rPr>
              <w:t>per le mani. In ogni caso, favorire modalità di pagamento elettroniche, eventualmente in fase di prenotazione.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1F3863"/>
                <w:w w:val="100"/>
                <w:sz w:val="22"/>
              </w:rPr>
              <w:t></w:t>
            </w:r>
          </w:p>
        </w:tc>
      </w:tr>
      <w:tr>
        <w:trPr>
          <w:trHeight w:val="2270" w:hRule="atLeast"/>
        </w:trPr>
        <w:tc>
          <w:tcPr>
            <w:tcW w:w="8644" w:type="dxa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0"/>
              <w:jc w:val="both"/>
              <w:rPr>
                <w:b/>
                <w:sz w:val="22"/>
              </w:rPr>
            </w:pPr>
            <w:r>
              <w:rPr>
                <w:b/>
                <w:color w:val="1F3863"/>
                <w:sz w:val="22"/>
                <w:u w:val="single" w:color="1F3863"/>
              </w:rPr>
              <w:t>Organizzazione degli spazi</w:t>
            </w:r>
          </w:p>
          <w:p>
            <w:pPr>
              <w:pStyle w:val="TableParagraph"/>
              <w:ind w:left="110" w:right="88"/>
              <w:jc w:val="both"/>
              <w:rPr>
                <w:sz w:val="22"/>
              </w:rPr>
            </w:pPr>
            <w:r>
              <w:rPr>
                <w:color w:val="1F3863"/>
                <w:sz w:val="22"/>
              </w:rPr>
              <w:t>Riorganizzare gli spazi, per garantire </w:t>
            </w:r>
            <w:r>
              <w:rPr>
                <w:rFonts w:ascii="Trebuchet MS" w:hAnsi="Trebuchet MS"/>
                <w:b/>
                <w:color w:val="1F3863"/>
                <w:sz w:val="22"/>
              </w:rPr>
              <w:t>l’accesso allo stabilim</w:t>
            </w:r>
            <w:r>
              <w:rPr>
                <w:b/>
                <w:color w:val="1F3863"/>
                <w:sz w:val="22"/>
              </w:rPr>
              <w:t>ento </w:t>
            </w:r>
            <w:r>
              <w:rPr>
                <w:color w:val="1F3863"/>
                <w:sz w:val="22"/>
              </w:rPr>
              <w:t>in modo ordinato, al fine di </w:t>
            </w:r>
            <w:r>
              <w:rPr>
                <w:b/>
                <w:color w:val="1F3863"/>
                <w:sz w:val="22"/>
              </w:rPr>
              <w:t>evitare assembramenti </w:t>
            </w:r>
            <w:r>
              <w:rPr>
                <w:color w:val="1F3863"/>
                <w:sz w:val="22"/>
              </w:rPr>
              <w:t>di persone e di assicurare il mantenimento del </w:t>
            </w:r>
            <w:r>
              <w:rPr>
                <w:b/>
                <w:color w:val="1F3863"/>
                <w:sz w:val="22"/>
              </w:rPr>
              <w:t>distanziamento di almeno 1 metro </w:t>
            </w:r>
            <w:r>
              <w:rPr>
                <w:color w:val="1F3863"/>
                <w:sz w:val="22"/>
              </w:rPr>
              <w:t>tra gli utenti, ad eccezione delle persone che in base alle disposizioni vigenti non siano soggette al distanziamento interpersonale; detto ultimo aspetto afferisce alla </w:t>
            </w:r>
            <w:r>
              <w:rPr>
                <w:rFonts w:ascii="Trebuchet MS" w:hAnsi="Trebuchet MS"/>
                <w:color w:val="1F3863"/>
                <w:w w:val="90"/>
                <w:sz w:val="22"/>
              </w:rPr>
              <w:t>responsabilità</w:t>
            </w:r>
            <w:r>
              <w:rPr>
                <w:rFonts w:ascii="Trebuchet MS" w:hAnsi="Trebuchet MS"/>
                <w:color w:val="1F3863"/>
                <w:spacing w:val="-14"/>
                <w:w w:val="90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0"/>
                <w:sz w:val="22"/>
              </w:rPr>
              <w:t>individuale.</w:t>
            </w:r>
            <w:r>
              <w:rPr>
                <w:rFonts w:ascii="Trebuchet MS" w:hAnsi="Trebuchet MS"/>
                <w:color w:val="1F3863"/>
                <w:spacing w:val="-14"/>
                <w:w w:val="90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0"/>
                <w:sz w:val="22"/>
              </w:rPr>
              <w:t>Se</w:t>
            </w:r>
            <w:r>
              <w:rPr>
                <w:rFonts w:ascii="Trebuchet MS" w:hAnsi="Trebuchet MS"/>
                <w:color w:val="1F3863"/>
                <w:spacing w:val="-14"/>
                <w:w w:val="90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0"/>
                <w:sz w:val="22"/>
              </w:rPr>
              <w:t>possibile</w:t>
            </w:r>
            <w:r>
              <w:rPr>
                <w:rFonts w:ascii="Trebuchet MS" w:hAnsi="Trebuchet MS"/>
                <w:color w:val="1F3863"/>
                <w:spacing w:val="-16"/>
                <w:w w:val="90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0"/>
                <w:sz w:val="22"/>
              </w:rPr>
              <w:t>organizzare</w:t>
            </w:r>
            <w:r>
              <w:rPr>
                <w:rFonts w:ascii="Trebuchet MS" w:hAnsi="Trebuchet MS"/>
                <w:color w:val="1F3863"/>
                <w:spacing w:val="-14"/>
                <w:w w:val="90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0"/>
                <w:sz w:val="22"/>
              </w:rPr>
              <w:t>percorsi</w:t>
            </w:r>
            <w:r>
              <w:rPr>
                <w:rFonts w:ascii="Trebuchet MS" w:hAnsi="Trebuchet MS"/>
                <w:color w:val="1F3863"/>
                <w:spacing w:val="-15"/>
                <w:w w:val="90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0"/>
                <w:sz w:val="22"/>
              </w:rPr>
              <w:t>separati</w:t>
            </w:r>
            <w:r>
              <w:rPr>
                <w:rFonts w:ascii="Trebuchet MS" w:hAnsi="Trebuchet MS"/>
                <w:color w:val="1F3863"/>
                <w:spacing w:val="-14"/>
                <w:w w:val="90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0"/>
                <w:sz w:val="22"/>
              </w:rPr>
              <w:t>per</w:t>
            </w:r>
            <w:r>
              <w:rPr>
                <w:rFonts w:ascii="Trebuchet MS" w:hAnsi="Trebuchet MS"/>
                <w:color w:val="1F3863"/>
                <w:spacing w:val="-14"/>
                <w:w w:val="90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0"/>
                <w:sz w:val="22"/>
              </w:rPr>
              <w:t>l’entrata</w:t>
            </w:r>
            <w:r>
              <w:rPr>
                <w:rFonts w:ascii="Trebuchet MS" w:hAnsi="Trebuchet MS"/>
                <w:color w:val="1F3863"/>
                <w:spacing w:val="-16"/>
                <w:w w:val="90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0"/>
                <w:sz w:val="22"/>
              </w:rPr>
              <w:t>e</w:t>
            </w:r>
            <w:r>
              <w:rPr>
                <w:rFonts w:ascii="Trebuchet MS" w:hAnsi="Trebuchet MS"/>
                <w:color w:val="1F3863"/>
                <w:spacing w:val="-13"/>
                <w:w w:val="90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0"/>
                <w:sz w:val="22"/>
              </w:rPr>
              <w:t>per</w:t>
            </w:r>
            <w:r>
              <w:rPr>
                <w:rFonts w:ascii="Trebuchet MS" w:hAnsi="Trebuchet MS"/>
                <w:color w:val="1F3863"/>
                <w:spacing w:val="-13"/>
                <w:w w:val="90"/>
                <w:sz w:val="22"/>
              </w:rPr>
              <w:t> </w:t>
            </w:r>
            <w:r>
              <w:rPr>
                <w:rFonts w:ascii="Trebuchet MS" w:hAnsi="Trebuchet MS"/>
                <w:color w:val="1F3863"/>
                <w:w w:val="90"/>
                <w:sz w:val="22"/>
              </w:rPr>
              <w:t>l’uscita</w:t>
            </w:r>
            <w:r>
              <w:rPr>
                <w:color w:val="1F3863"/>
                <w:w w:val="90"/>
                <w:sz w:val="22"/>
              </w:rPr>
              <w:t>.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7"/>
              <w:ind w:left="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1F3863"/>
                <w:w w:val="100"/>
                <w:sz w:val="22"/>
              </w:rPr>
              <w:t></w:t>
            </w:r>
          </w:p>
        </w:tc>
      </w:tr>
    </w:tbl>
    <w:p>
      <w:pPr>
        <w:pStyle w:val="BodyText"/>
        <w:spacing w:before="9"/>
        <w:rPr>
          <w:rFonts w:ascii="Times New Roman"/>
          <w:sz w:val="21"/>
        </w:rPr>
      </w:pPr>
      <w:r>
        <w:rPr/>
        <w:pict>
          <v:rect style="position:absolute;margin-left:56.639999pt;margin-top:14.51997pt;width:144.05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1"/>
        <w:ind w:left="112" w:right="111"/>
        <w:jc w:val="both"/>
        <w:rPr>
          <w:rFonts w:ascii="Trebuchet MS" w:hAnsi="Trebuchet MS"/>
        </w:rPr>
      </w:pPr>
      <w:r>
        <w:rPr>
          <w:vertAlign w:val="superscript"/>
        </w:rPr>
        <w:t>1</w:t>
      </w:r>
      <w:r>
        <w:rPr>
          <w:spacing w:val="-22"/>
          <w:vertAlign w:val="baseline"/>
        </w:rPr>
        <w:t> </w:t>
      </w:r>
      <w:r>
        <w:rPr>
          <w:rFonts w:ascii="Trebuchet MS" w:hAnsi="Trebuchet MS"/>
          <w:vertAlign w:val="baseline"/>
        </w:rPr>
        <w:t>L’art.</w:t>
      </w:r>
      <w:r>
        <w:rPr>
          <w:rFonts w:ascii="Trebuchet MS" w:hAnsi="Trebuchet MS"/>
          <w:spacing w:val="-35"/>
          <w:vertAlign w:val="baseline"/>
        </w:rPr>
        <w:t> </w:t>
      </w:r>
      <w:r>
        <w:rPr>
          <w:rFonts w:ascii="Trebuchet MS" w:hAnsi="Trebuchet MS"/>
          <w:vertAlign w:val="baseline"/>
        </w:rPr>
        <w:t>1,</w:t>
      </w:r>
      <w:r>
        <w:rPr>
          <w:rFonts w:ascii="Trebuchet MS" w:hAnsi="Trebuchet MS"/>
          <w:spacing w:val="-37"/>
          <w:vertAlign w:val="baseline"/>
        </w:rPr>
        <w:t> </w:t>
      </w:r>
      <w:r>
        <w:rPr>
          <w:rFonts w:ascii="Trebuchet MS" w:hAnsi="Trebuchet MS"/>
          <w:vertAlign w:val="baseline"/>
        </w:rPr>
        <w:t>comma</w:t>
      </w:r>
      <w:r>
        <w:rPr>
          <w:rFonts w:ascii="Trebuchet MS" w:hAnsi="Trebuchet MS"/>
          <w:spacing w:val="-35"/>
          <w:vertAlign w:val="baseline"/>
        </w:rPr>
        <w:t> </w:t>
      </w:r>
      <w:r>
        <w:rPr>
          <w:rFonts w:ascii="Trebuchet MS" w:hAnsi="Trebuchet MS"/>
          <w:vertAlign w:val="baseline"/>
        </w:rPr>
        <w:t>14,</w:t>
      </w:r>
      <w:r>
        <w:rPr>
          <w:rFonts w:ascii="Trebuchet MS" w:hAnsi="Trebuchet MS"/>
          <w:spacing w:val="-35"/>
          <w:vertAlign w:val="baseline"/>
        </w:rPr>
        <w:t> </w:t>
      </w:r>
      <w:r>
        <w:rPr>
          <w:rFonts w:ascii="Trebuchet MS" w:hAnsi="Trebuchet MS"/>
          <w:vertAlign w:val="baseline"/>
        </w:rPr>
        <w:t>del</w:t>
      </w:r>
      <w:r>
        <w:rPr>
          <w:rFonts w:ascii="Trebuchet MS" w:hAnsi="Trebuchet MS"/>
          <w:spacing w:val="-36"/>
          <w:vertAlign w:val="baseline"/>
        </w:rPr>
        <w:t> </w:t>
      </w:r>
      <w:r>
        <w:rPr>
          <w:rFonts w:ascii="Trebuchet MS" w:hAnsi="Trebuchet MS"/>
          <w:vertAlign w:val="baseline"/>
        </w:rPr>
        <w:t>DL</w:t>
      </w:r>
      <w:r>
        <w:rPr>
          <w:rFonts w:ascii="Trebuchet MS" w:hAnsi="Trebuchet MS"/>
          <w:spacing w:val="-36"/>
          <w:vertAlign w:val="baseline"/>
        </w:rPr>
        <w:t> </w:t>
      </w:r>
      <w:r>
        <w:rPr>
          <w:rFonts w:ascii="Trebuchet MS" w:hAnsi="Trebuchet MS"/>
          <w:vertAlign w:val="baseline"/>
        </w:rPr>
        <w:t>n.</w:t>
      </w:r>
      <w:r>
        <w:rPr>
          <w:rFonts w:ascii="Trebuchet MS" w:hAnsi="Trebuchet MS"/>
          <w:spacing w:val="-37"/>
          <w:vertAlign w:val="baseline"/>
        </w:rPr>
        <w:t> </w:t>
      </w:r>
      <w:r>
        <w:rPr>
          <w:vertAlign w:val="baseline"/>
        </w:rPr>
        <w:t>33/2020</w:t>
      </w:r>
      <w:r>
        <w:rPr>
          <w:spacing w:val="-20"/>
          <w:vertAlign w:val="baseline"/>
        </w:rPr>
        <w:t> </w:t>
      </w:r>
      <w:r>
        <w:rPr>
          <w:vertAlign w:val="baseline"/>
        </w:rPr>
        <w:t>stabilisce</w:t>
      </w:r>
      <w:r>
        <w:rPr>
          <w:spacing w:val="-20"/>
          <w:vertAlign w:val="baseline"/>
        </w:rPr>
        <w:t> </w:t>
      </w:r>
      <w:r>
        <w:rPr>
          <w:vertAlign w:val="baseline"/>
        </w:rPr>
        <w:t>che</w:t>
      </w:r>
      <w:r>
        <w:rPr>
          <w:spacing w:val="-22"/>
          <w:vertAlign w:val="baseline"/>
        </w:rPr>
        <w:t> </w:t>
      </w:r>
      <w:r>
        <w:rPr>
          <w:vertAlign w:val="baseline"/>
        </w:rPr>
        <w:t>le</w:t>
      </w:r>
      <w:r>
        <w:rPr>
          <w:spacing w:val="-21"/>
          <w:vertAlign w:val="baseline"/>
        </w:rPr>
        <w:t> </w:t>
      </w:r>
      <w:r>
        <w:rPr>
          <w:vertAlign w:val="baseline"/>
        </w:rPr>
        <w:t>attività</w:t>
      </w:r>
      <w:r>
        <w:rPr>
          <w:spacing w:val="-20"/>
          <w:vertAlign w:val="baseline"/>
        </w:rPr>
        <w:t> </w:t>
      </w:r>
      <w:r>
        <w:rPr>
          <w:vertAlign w:val="baseline"/>
        </w:rPr>
        <w:t>economiche</w:t>
      </w:r>
      <w:r>
        <w:rPr>
          <w:spacing w:val="-20"/>
          <w:vertAlign w:val="baseline"/>
        </w:rPr>
        <w:t> </w:t>
      </w:r>
      <w:r>
        <w:rPr>
          <w:vertAlign w:val="baseline"/>
        </w:rPr>
        <w:t>debbano</w:t>
      </w:r>
      <w:r>
        <w:rPr>
          <w:spacing w:val="-21"/>
          <w:vertAlign w:val="baseline"/>
        </w:rPr>
        <w:t> </w:t>
      </w:r>
      <w:r>
        <w:rPr>
          <w:vertAlign w:val="baseline"/>
        </w:rPr>
        <w:t>svolgersi</w:t>
      </w:r>
      <w:r>
        <w:rPr>
          <w:spacing w:val="-20"/>
          <w:vertAlign w:val="baseline"/>
        </w:rPr>
        <w:t> </w:t>
      </w:r>
      <w:r>
        <w:rPr>
          <w:vertAlign w:val="baseline"/>
        </w:rPr>
        <w:t>nel</w:t>
      </w:r>
      <w:r>
        <w:rPr>
          <w:spacing w:val="-21"/>
          <w:vertAlign w:val="baseline"/>
        </w:rPr>
        <w:t> </w:t>
      </w:r>
      <w:r>
        <w:rPr>
          <w:vertAlign w:val="baseline"/>
        </w:rPr>
        <w:t>rispetto</w:t>
      </w:r>
      <w:r>
        <w:rPr>
          <w:spacing w:val="-20"/>
          <w:vertAlign w:val="baseline"/>
        </w:rPr>
        <w:t> </w:t>
      </w:r>
      <w:r>
        <w:rPr>
          <w:vertAlign w:val="baseline"/>
        </w:rPr>
        <w:t>dei</w:t>
      </w:r>
      <w:r>
        <w:rPr>
          <w:spacing w:val="-20"/>
          <w:vertAlign w:val="baseline"/>
        </w:rPr>
        <w:t> </w:t>
      </w:r>
      <w:r>
        <w:rPr>
          <w:vertAlign w:val="baseline"/>
        </w:rPr>
        <w:t>protocolli o linee guida idonei a prevenire o ridurre il rischio di contagio nel settore di riferimento o in ambiti analoghi, adottati dalle</w:t>
      </w:r>
      <w:r>
        <w:rPr>
          <w:spacing w:val="-13"/>
          <w:vertAlign w:val="baseline"/>
        </w:rPr>
        <w:t> </w:t>
      </w:r>
      <w:r>
        <w:rPr>
          <w:vertAlign w:val="baseline"/>
        </w:rPr>
        <w:t>Regioni</w:t>
      </w:r>
      <w:r>
        <w:rPr>
          <w:spacing w:val="-12"/>
          <w:vertAlign w:val="baseline"/>
        </w:rPr>
        <w:t> </w:t>
      </w:r>
      <w:r>
        <w:rPr>
          <w:vertAlign w:val="baseline"/>
        </w:rPr>
        <w:t>o</w:t>
      </w:r>
      <w:r>
        <w:rPr>
          <w:spacing w:val="-11"/>
          <w:vertAlign w:val="baseline"/>
        </w:rPr>
        <w:t> </w:t>
      </w:r>
      <w:r>
        <w:rPr>
          <w:vertAlign w:val="baseline"/>
        </w:rPr>
        <w:t>dalla</w:t>
      </w:r>
      <w:r>
        <w:rPr>
          <w:spacing w:val="-12"/>
          <w:vertAlign w:val="baseline"/>
        </w:rPr>
        <w:t> </w:t>
      </w:r>
      <w:r>
        <w:rPr>
          <w:vertAlign w:val="baseline"/>
        </w:rPr>
        <w:t>Conferenza</w:t>
      </w:r>
      <w:r>
        <w:rPr>
          <w:spacing w:val="-11"/>
          <w:vertAlign w:val="baseline"/>
        </w:rPr>
        <w:t> </w:t>
      </w:r>
      <w:r>
        <w:rPr>
          <w:vertAlign w:val="baseline"/>
        </w:rPr>
        <w:t>delle</w:t>
      </w:r>
      <w:r>
        <w:rPr>
          <w:spacing w:val="-13"/>
          <w:vertAlign w:val="baseline"/>
        </w:rPr>
        <w:t> </w:t>
      </w:r>
      <w:r>
        <w:rPr>
          <w:vertAlign w:val="baseline"/>
        </w:rPr>
        <w:t>Regioni</w:t>
      </w:r>
      <w:r>
        <w:rPr>
          <w:spacing w:val="-12"/>
          <w:vertAlign w:val="baseline"/>
        </w:rPr>
        <w:t> </w:t>
      </w:r>
      <w:r>
        <w:rPr>
          <w:vertAlign w:val="baseline"/>
        </w:rPr>
        <w:t>e</w:t>
      </w:r>
      <w:r>
        <w:rPr>
          <w:spacing w:val="-13"/>
          <w:vertAlign w:val="baseline"/>
        </w:rPr>
        <w:t> </w:t>
      </w:r>
      <w:r>
        <w:rPr>
          <w:vertAlign w:val="baseline"/>
        </w:rPr>
        <w:t>delle</w:t>
      </w:r>
      <w:r>
        <w:rPr>
          <w:spacing w:val="-12"/>
          <w:vertAlign w:val="baseline"/>
        </w:rPr>
        <w:t> </w:t>
      </w:r>
      <w:r>
        <w:rPr>
          <w:vertAlign w:val="baseline"/>
        </w:rPr>
        <w:t>Province</w:t>
      </w:r>
      <w:r>
        <w:rPr>
          <w:spacing w:val="-13"/>
          <w:vertAlign w:val="baseline"/>
        </w:rPr>
        <w:t> </w:t>
      </w:r>
      <w:r>
        <w:rPr>
          <w:vertAlign w:val="baseline"/>
        </w:rPr>
        <w:t>Autonome</w:t>
      </w:r>
      <w:r>
        <w:rPr>
          <w:spacing w:val="-12"/>
          <w:vertAlign w:val="baseline"/>
        </w:rPr>
        <w:t> </w:t>
      </w:r>
      <w:r>
        <w:rPr>
          <w:vertAlign w:val="baseline"/>
        </w:rPr>
        <w:t>nel</w:t>
      </w:r>
      <w:r>
        <w:rPr>
          <w:spacing w:val="-12"/>
          <w:vertAlign w:val="baseline"/>
        </w:rPr>
        <w:t> </w:t>
      </w:r>
      <w:r>
        <w:rPr>
          <w:vertAlign w:val="baseline"/>
        </w:rPr>
        <w:t>rispetto</w:t>
      </w:r>
      <w:r>
        <w:rPr>
          <w:spacing w:val="-12"/>
          <w:vertAlign w:val="baseline"/>
        </w:rPr>
        <w:t> </w:t>
      </w:r>
      <w:r>
        <w:rPr>
          <w:vertAlign w:val="baseline"/>
        </w:rPr>
        <w:t>dei</w:t>
      </w:r>
      <w:r>
        <w:rPr>
          <w:spacing w:val="-12"/>
          <w:vertAlign w:val="baseline"/>
        </w:rPr>
        <w:t> </w:t>
      </w:r>
      <w:r>
        <w:rPr>
          <w:vertAlign w:val="baseline"/>
        </w:rPr>
        <w:t>principi</w:t>
      </w:r>
      <w:r>
        <w:rPr>
          <w:spacing w:val="-11"/>
          <w:vertAlign w:val="baseline"/>
        </w:rPr>
        <w:t> </w:t>
      </w:r>
      <w:r>
        <w:rPr>
          <w:vertAlign w:val="baseline"/>
        </w:rPr>
        <w:t>contenuti</w:t>
      </w:r>
      <w:r>
        <w:rPr>
          <w:spacing w:val="-12"/>
          <w:vertAlign w:val="baseline"/>
        </w:rPr>
        <w:t> </w:t>
      </w:r>
      <w:r>
        <w:rPr>
          <w:vertAlign w:val="baseline"/>
        </w:rPr>
        <w:t>nei</w:t>
      </w:r>
      <w:r>
        <w:rPr>
          <w:spacing w:val="-12"/>
          <w:vertAlign w:val="baseline"/>
        </w:rPr>
        <w:t> </w:t>
      </w:r>
      <w:r>
        <w:rPr>
          <w:vertAlign w:val="baseline"/>
        </w:rPr>
        <w:t>protocolli o linee guida nazionali. In assenza di quelli regionali trovano applicazione i protocolli o linee guida nazionali. Il comma 15</w:t>
      </w:r>
      <w:r>
        <w:rPr>
          <w:spacing w:val="-5"/>
          <w:vertAlign w:val="baseline"/>
        </w:rPr>
        <w:t> </w:t>
      </w:r>
      <w:r>
        <w:rPr>
          <w:vertAlign w:val="baseline"/>
        </w:rPr>
        <w:t>prevede</w:t>
      </w:r>
      <w:r>
        <w:rPr>
          <w:spacing w:val="-6"/>
          <w:vertAlign w:val="baseline"/>
        </w:rPr>
        <w:t> </w:t>
      </w:r>
      <w:r>
        <w:rPr>
          <w:vertAlign w:val="baseline"/>
        </w:rPr>
        <w:t>che</w:t>
      </w:r>
      <w:r>
        <w:rPr>
          <w:spacing w:val="-6"/>
          <w:vertAlign w:val="baseline"/>
        </w:rPr>
        <w:t> </w:t>
      </w:r>
      <w:r>
        <w:rPr>
          <w:vertAlign w:val="baseline"/>
        </w:rPr>
        <w:t>il</w:t>
      </w:r>
      <w:r>
        <w:rPr>
          <w:spacing w:val="-5"/>
          <w:vertAlign w:val="baseline"/>
        </w:rPr>
        <w:t> </w:t>
      </w:r>
      <w:r>
        <w:rPr>
          <w:vertAlign w:val="baseline"/>
        </w:rPr>
        <w:t>mancato</w:t>
      </w:r>
      <w:r>
        <w:rPr>
          <w:spacing w:val="-5"/>
          <w:vertAlign w:val="baseline"/>
        </w:rPr>
        <w:t> </w:t>
      </w:r>
      <w:r>
        <w:rPr>
          <w:vertAlign w:val="baseline"/>
        </w:rPr>
        <w:t>rispetto</w:t>
      </w:r>
      <w:r>
        <w:rPr>
          <w:spacing w:val="-5"/>
          <w:vertAlign w:val="baseline"/>
        </w:rPr>
        <w:t> </w:t>
      </w:r>
      <w:r>
        <w:rPr>
          <w:vertAlign w:val="baseline"/>
        </w:rPr>
        <w:t>dei</w:t>
      </w:r>
      <w:r>
        <w:rPr>
          <w:spacing w:val="-5"/>
          <w:vertAlign w:val="baseline"/>
        </w:rPr>
        <w:t> </w:t>
      </w:r>
      <w:r>
        <w:rPr>
          <w:vertAlign w:val="baseline"/>
        </w:rPr>
        <w:t>protocolli/linee</w:t>
      </w:r>
      <w:r>
        <w:rPr>
          <w:spacing w:val="-6"/>
          <w:vertAlign w:val="baseline"/>
        </w:rPr>
        <w:t> </w:t>
      </w:r>
      <w:r>
        <w:rPr>
          <w:vertAlign w:val="baseline"/>
        </w:rPr>
        <w:t>guida</w:t>
      </w:r>
      <w:r>
        <w:rPr>
          <w:spacing w:val="-4"/>
          <w:vertAlign w:val="baseline"/>
        </w:rPr>
        <w:t> </w:t>
      </w:r>
      <w:r>
        <w:rPr>
          <w:vertAlign w:val="baseline"/>
        </w:rPr>
        <w:t>regionali</w:t>
      </w:r>
      <w:r>
        <w:rPr>
          <w:spacing w:val="-5"/>
          <w:vertAlign w:val="baseline"/>
        </w:rPr>
        <w:t> </w:t>
      </w:r>
      <w:r>
        <w:rPr>
          <w:vertAlign w:val="baseline"/>
        </w:rPr>
        <w:t>o,</w:t>
      </w:r>
      <w:r>
        <w:rPr>
          <w:spacing w:val="-5"/>
          <w:vertAlign w:val="baseline"/>
        </w:rPr>
        <w:t> </w:t>
      </w:r>
      <w:r>
        <w:rPr>
          <w:vertAlign w:val="baseline"/>
        </w:rPr>
        <w:t>in</w:t>
      </w:r>
      <w:r>
        <w:rPr>
          <w:spacing w:val="-7"/>
          <w:vertAlign w:val="baseline"/>
        </w:rPr>
        <w:t> </w:t>
      </w:r>
      <w:r>
        <w:rPr>
          <w:vertAlign w:val="baseline"/>
        </w:rPr>
        <w:t>assenza,</w:t>
      </w:r>
      <w:r>
        <w:rPr>
          <w:spacing w:val="-6"/>
          <w:vertAlign w:val="baseline"/>
        </w:rPr>
        <w:t> </w:t>
      </w:r>
      <w:r>
        <w:rPr>
          <w:vertAlign w:val="baseline"/>
        </w:rPr>
        <w:t>nazionali</w:t>
      </w:r>
      <w:r>
        <w:rPr>
          <w:spacing w:val="-5"/>
          <w:vertAlign w:val="baseline"/>
        </w:rPr>
        <w:t> </w:t>
      </w:r>
      <w:r>
        <w:rPr>
          <w:vertAlign w:val="baseline"/>
        </w:rPr>
        <w:t>determina</w:t>
      </w:r>
      <w:r>
        <w:rPr>
          <w:spacing w:val="-5"/>
          <w:vertAlign w:val="baseline"/>
        </w:rPr>
        <w:t> </w:t>
      </w:r>
      <w:r>
        <w:rPr>
          <w:vertAlign w:val="baseline"/>
        </w:rPr>
        <w:t>la</w:t>
      </w:r>
      <w:r>
        <w:rPr>
          <w:spacing w:val="-5"/>
          <w:vertAlign w:val="baseline"/>
        </w:rPr>
        <w:t> </w:t>
      </w:r>
      <w:r>
        <w:rPr>
          <w:vertAlign w:val="baseline"/>
        </w:rPr>
        <w:t>sospensione </w:t>
      </w:r>
      <w:r>
        <w:rPr>
          <w:rFonts w:ascii="Trebuchet MS" w:hAnsi="Trebuchet MS"/>
          <w:vertAlign w:val="baseline"/>
        </w:rPr>
        <w:t>dell’attività</w:t>
      </w:r>
      <w:r>
        <w:rPr>
          <w:rFonts w:ascii="Trebuchet MS" w:hAnsi="Trebuchet MS"/>
          <w:spacing w:val="-20"/>
          <w:vertAlign w:val="baseline"/>
        </w:rPr>
        <w:t> </w:t>
      </w:r>
      <w:r>
        <w:rPr>
          <w:rFonts w:ascii="Trebuchet MS" w:hAnsi="Trebuchet MS"/>
          <w:vertAlign w:val="baseline"/>
        </w:rPr>
        <w:t>sino</w:t>
      </w:r>
      <w:r>
        <w:rPr>
          <w:rFonts w:ascii="Trebuchet MS" w:hAnsi="Trebuchet MS"/>
          <w:spacing w:val="-20"/>
          <w:vertAlign w:val="baseline"/>
        </w:rPr>
        <w:t> </w:t>
      </w:r>
      <w:r>
        <w:rPr>
          <w:rFonts w:ascii="Trebuchet MS" w:hAnsi="Trebuchet MS"/>
          <w:vertAlign w:val="baseline"/>
        </w:rPr>
        <w:t>al</w:t>
      </w:r>
      <w:r>
        <w:rPr>
          <w:rFonts w:ascii="Trebuchet MS" w:hAnsi="Trebuchet MS"/>
          <w:spacing w:val="-20"/>
          <w:vertAlign w:val="baseline"/>
        </w:rPr>
        <w:t> </w:t>
      </w:r>
      <w:r>
        <w:rPr>
          <w:rFonts w:ascii="Trebuchet MS" w:hAnsi="Trebuchet MS"/>
          <w:vertAlign w:val="baseline"/>
        </w:rPr>
        <w:t>ripristino</w:t>
      </w:r>
      <w:r>
        <w:rPr>
          <w:rFonts w:ascii="Trebuchet MS" w:hAnsi="Trebuchet MS"/>
          <w:spacing w:val="-20"/>
          <w:vertAlign w:val="baseline"/>
        </w:rPr>
        <w:t> </w:t>
      </w:r>
      <w:r>
        <w:rPr>
          <w:rFonts w:ascii="Trebuchet MS" w:hAnsi="Trebuchet MS"/>
          <w:vertAlign w:val="baseline"/>
        </w:rPr>
        <w:t>delle</w:t>
      </w:r>
      <w:r>
        <w:rPr>
          <w:rFonts w:ascii="Trebuchet MS" w:hAnsi="Trebuchet MS"/>
          <w:spacing w:val="-21"/>
          <w:vertAlign w:val="baseline"/>
        </w:rPr>
        <w:t> </w:t>
      </w:r>
      <w:r>
        <w:rPr>
          <w:rFonts w:ascii="Trebuchet MS" w:hAnsi="Trebuchet MS"/>
          <w:vertAlign w:val="baseline"/>
        </w:rPr>
        <w:t>condizioni</w:t>
      </w:r>
      <w:r>
        <w:rPr>
          <w:rFonts w:ascii="Trebuchet MS" w:hAnsi="Trebuchet MS"/>
          <w:spacing w:val="-21"/>
          <w:vertAlign w:val="baseline"/>
        </w:rPr>
        <w:t> </w:t>
      </w:r>
      <w:r>
        <w:rPr>
          <w:rFonts w:ascii="Trebuchet MS" w:hAnsi="Trebuchet MS"/>
          <w:vertAlign w:val="baseline"/>
        </w:rPr>
        <w:t>di</w:t>
      </w:r>
      <w:r>
        <w:rPr>
          <w:rFonts w:ascii="Trebuchet MS" w:hAnsi="Trebuchet MS"/>
          <w:spacing w:val="-21"/>
          <w:vertAlign w:val="baseline"/>
        </w:rPr>
        <w:t> </w:t>
      </w:r>
      <w:r>
        <w:rPr>
          <w:rFonts w:ascii="Trebuchet MS" w:hAnsi="Trebuchet MS"/>
          <w:vertAlign w:val="baseline"/>
        </w:rPr>
        <w:t>sicurezza.</w:t>
      </w:r>
    </w:p>
    <w:p>
      <w:pPr>
        <w:spacing w:after="0"/>
        <w:jc w:val="both"/>
        <w:rPr>
          <w:rFonts w:ascii="Trebuchet MS" w:hAnsi="Trebuchet MS"/>
        </w:rPr>
        <w:sectPr>
          <w:headerReference w:type="default" r:id="rId5"/>
          <w:footerReference w:type="default" r:id="rId6"/>
          <w:type w:val="continuous"/>
          <w:pgSz w:w="11910" w:h="16840"/>
          <w:pgMar w:header="265" w:footer="920" w:top="1660" w:bottom="1120" w:left="1020" w:right="1020"/>
          <w:pgNumType w:start="1"/>
        </w:sect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10"/>
        <w:rPr>
          <w:rFonts w:ascii="Trebuchet MS"/>
          <w:sz w:val="2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1"/>
        <w:gridCol w:w="1089"/>
      </w:tblGrid>
      <w:tr>
        <w:trPr>
          <w:trHeight w:val="1266" w:hRule="atLeast"/>
        </w:trPr>
        <w:tc>
          <w:tcPr>
            <w:tcW w:w="9630" w:type="dxa"/>
            <w:gridSpan w:val="2"/>
            <w:shd w:val="clear" w:color="auto" w:fill="2D487A"/>
          </w:tcPr>
          <w:p>
            <w:pPr>
              <w:pStyle w:val="TableParagraph"/>
              <w:spacing w:before="242"/>
              <w:ind w:left="909" w:right="655" w:hanging="221"/>
              <w:rPr>
                <w:b/>
                <w:sz w:val="32"/>
              </w:rPr>
            </w:pPr>
            <w:r>
              <w:rPr>
                <w:b/>
                <w:i/>
                <w:color w:val="FFFFFF"/>
                <w:sz w:val="32"/>
              </w:rPr>
              <w:t>CHECK LIST </w:t>
            </w:r>
            <w:r>
              <w:rPr>
                <w:b/>
                <w:color w:val="FFFFFF"/>
                <w:sz w:val="32"/>
              </w:rPr>
              <w:t>INDIRIZZI OPERATICI NAZIONALI DPCM 17.05.2020 MISURE DI PREVENZIONE PER GLI STABILIMENTI BALNEARI</w:t>
            </w:r>
          </w:p>
        </w:tc>
      </w:tr>
      <w:tr>
        <w:trPr>
          <w:trHeight w:val="1610" w:hRule="atLeast"/>
        </w:trPr>
        <w:tc>
          <w:tcPr>
            <w:tcW w:w="8541" w:type="dxa"/>
          </w:tcPr>
          <w:p>
            <w:pPr>
              <w:pStyle w:val="TableParagraph"/>
              <w:rPr>
                <w:rFonts w:ascii="Trebuchet MS"/>
                <w:sz w:val="23"/>
              </w:rPr>
            </w:pPr>
          </w:p>
          <w:p>
            <w:pPr>
              <w:pStyle w:val="TableParagraph"/>
              <w:spacing w:before="1"/>
              <w:ind w:left="110"/>
              <w:jc w:val="both"/>
              <w:rPr>
                <w:b/>
                <w:sz w:val="22"/>
              </w:rPr>
            </w:pPr>
            <w:r>
              <w:rPr>
                <w:b/>
                <w:color w:val="1F3863"/>
                <w:sz w:val="22"/>
                <w:u w:val="single" w:color="1F3863"/>
              </w:rPr>
              <w:t>Distanziamento ombrelloni</w:t>
            </w:r>
          </w:p>
          <w:p>
            <w:pPr>
              <w:pStyle w:val="TableParagraph"/>
              <w:ind w:left="110" w:right="88"/>
              <w:jc w:val="both"/>
              <w:rPr>
                <w:sz w:val="22"/>
              </w:rPr>
            </w:pPr>
            <w:r>
              <w:rPr>
                <w:color w:val="1F3863"/>
                <w:sz w:val="22"/>
              </w:rPr>
              <w:t>Assicurare un distanziamento tra gli ombrelloni (o altri sistemi di ombreggio) in modo da garantire</w:t>
            </w:r>
            <w:r>
              <w:rPr>
                <w:color w:val="1F3863"/>
                <w:spacing w:val="-6"/>
                <w:sz w:val="22"/>
              </w:rPr>
              <w:t> </w:t>
            </w:r>
            <w:r>
              <w:rPr>
                <w:color w:val="1F3863"/>
                <w:sz w:val="22"/>
              </w:rPr>
              <w:t>una</w:t>
            </w:r>
            <w:r>
              <w:rPr>
                <w:color w:val="1F3863"/>
                <w:spacing w:val="-7"/>
                <w:sz w:val="22"/>
              </w:rPr>
              <w:t> </w:t>
            </w:r>
            <w:r>
              <w:rPr>
                <w:b/>
                <w:color w:val="1F3863"/>
                <w:sz w:val="22"/>
              </w:rPr>
              <w:t>superficie</w:t>
            </w:r>
            <w:r>
              <w:rPr>
                <w:b/>
                <w:color w:val="1F3863"/>
                <w:spacing w:val="-6"/>
                <w:sz w:val="22"/>
              </w:rPr>
              <w:t> </w:t>
            </w:r>
            <w:r>
              <w:rPr>
                <w:b/>
                <w:color w:val="1F3863"/>
                <w:sz w:val="22"/>
              </w:rPr>
              <w:t>di</w:t>
            </w:r>
            <w:r>
              <w:rPr>
                <w:b/>
                <w:color w:val="1F3863"/>
                <w:spacing w:val="-8"/>
                <w:sz w:val="22"/>
              </w:rPr>
              <w:t> </w:t>
            </w:r>
            <w:r>
              <w:rPr>
                <w:b/>
                <w:color w:val="1F3863"/>
                <w:sz w:val="22"/>
              </w:rPr>
              <w:t>almeno</w:t>
            </w:r>
            <w:r>
              <w:rPr>
                <w:b/>
                <w:color w:val="1F3863"/>
                <w:spacing w:val="-8"/>
                <w:sz w:val="22"/>
              </w:rPr>
              <w:t> </w:t>
            </w:r>
            <w:r>
              <w:rPr>
                <w:b/>
                <w:color w:val="1F3863"/>
                <w:sz w:val="22"/>
              </w:rPr>
              <w:t>10</w:t>
            </w:r>
            <w:r>
              <w:rPr>
                <w:b/>
                <w:color w:val="1F3863"/>
                <w:spacing w:val="-4"/>
                <w:sz w:val="22"/>
              </w:rPr>
              <w:t> </w:t>
            </w:r>
            <w:r>
              <w:rPr>
                <w:b/>
                <w:color w:val="1F3863"/>
                <w:sz w:val="22"/>
              </w:rPr>
              <w:t>metri</w:t>
            </w:r>
            <w:r>
              <w:rPr>
                <w:b/>
                <w:color w:val="1F3863"/>
                <w:spacing w:val="-6"/>
                <w:sz w:val="22"/>
              </w:rPr>
              <w:t> </w:t>
            </w:r>
            <w:r>
              <w:rPr>
                <w:b/>
                <w:color w:val="1F3863"/>
                <w:sz w:val="22"/>
              </w:rPr>
              <w:t>quadri</w:t>
            </w:r>
            <w:r>
              <w:rPr>
                <w:b/>
                <w:color w:val="1F3863"/>
                <w:spacing w:val="-5"/>
                <w:sz w:val="22"/>
              </w:rPr>
              <w:t> </w:t>
            </w:r>
            <w:r>
              <w:rPr>
                <w:b/>
                <w:color w:val="1F3863"/>
                <w:sz w:val="22"/>
              </w:rPr>
              <w:t>per</w:t>
            </w:r>
            <w:r>
              <w:rPr>
                <w:b/>
                <w:color w:val="1F3863"/>
                <w:spacing w:val="-6"/>
                <w:sz w:val="22"/>
              </w:rPr>
              <w:t> </w:t>
            </w:r>
            <w:r>
              <w:rPr>
                <w:b/>
                <w:color w:val="1F3863"/>
                <w:sz w:val="22"/>
              </w:rPr>
              <w:t>ogni</w:t>
            </w:r>
            <w:r>
              <w:rPr>
                <w:b/>
                <w:color w:val="1F3863"/>
                <w:spacing w:val="-6"/>
                <w:sz w:val="22"/>
              </w:rPr>
              <w:t> </w:t>
            </w:r>
            <w:r>
              <w:rPr>
                <w:b/>
                <w:color w:val="1F3863"/>
                <w:sz w:val="22"/>
              </w:rPr>
              <w:t>ombrellone</w:t>
            </w:r>
            <w:r>
              <w:rPr>
                <w:color w:val="1F3863"/>
                <w:sz w:val="22"/>
              </w:rPr>
              <w:t>,</w:t>
            </w:r>
            <w:r>
              <w:rPr>
                <w:color w:val="1F3863"/>
                <w:spacing w:val="-6"/>
                <w:sz w:val="22"/>
              </w:rPr>
              <w:t> </w:t>
            </w:r>
            <w:r>
              <w:rPr>
                <w:color w:val="1F3863"/>
                <w:sz w:val="22"/>
              </w:rPr>
              <w:t>indipendentemente dalla modalità di allestimento della spiaggia (per file orizzontali o a</w:t>
            </w:r>
            <w:r>
              <w:rPr>
                <w:color w:val="1F3863"/>
                <w:spacing w:val="-13"/>
                <w:sz w:val="22"/>
              </w:rPr>
              <w:t> </w:t>
            </w:r>
            <w:r>
              <w:rPr>
                <w:color w:val="1F3863"/>
                <w:sz w:val="22"/>
              </w:rPr>
              <w:t>rombo).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Trebuchet MS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rebuchet MS"/>
                <w:sz w:val="34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1F3863"/>
                <w:w w:val="100"/>
                <w:sz w:val="22"/>
              </w:rPr>
              <w:t></w:t>
            </w:r>
          </w:p>
        </w:tc>
      </w:tr>
      <w:tr>
        <w:trPr>
          <w:trHeight w:val="1612" w:hRule="atLeast"/>
        </w:trPr>
        <w:tc>
          <w:tcPr>
            <w:tcW w:w="8541" w:type="dxa"/>
          </w:tcPr>
          <w:p>
            <w:pPr>
              <w:pStyle w:val="TableParagraph"/>
              <w:rPr>
                <w:rFonts w:ascii="Trebuchet MS"/>
                <w:sz w:val="23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color w:val="1F3863"/>
                <w:sz w:val="22"/>
                <w:u w:val="single" w:color="1F3863"/>
              </w:rPr>
              <w:t>Distanziamento tra le attrezzature</w:t>
            </w: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color w:val="1F3863"/>
                <w:sz w:val="22"/>
              </w:rPr>
              <w:t>Tra le attrezzature di spiaggia (lettini, sedie a sdraio), quando non posizionate nel posto ombrellone, deve essere garantita </w:t>
            </w:r>
            <w:r>
              <w:rPr>
                <w:b/>
                <w:color w:val="1F3863"/>
                <w:sz w:val="22"/>
              </w:rPr>
              <w:t>una distanza di almeno 1,5 m.</w:t>
            </w:r>
          </w:p>
        </w:tc>
        <w:tc>
          <w:tcPr>
            <w:tcW w:w="1089" w:type="dxa"/>
          </w:tcPr>
          <w:p>
            <w:pPr>
              <w:pStyle w:val="TableParagraph"/>
              <w:rPr>
                <w:rFonts w:ascii="Trebuchet MS"/>
                <w:sz w:val="24"/>
              </w:rPr>
            </w:pPr>
          </w:p>
          <w:p>
            <w:pPr>
              <w:pStyle w:val="TableParagraph"/>
              <w:rPr>
                <w:rFonts w:ascii="Trebuchet MS"/>
                <w:sz w:val="35"/>
              </w:rPr>
            </w:pPr>
          </w:p>
          <w:p>
            <w:pPr>
              <w:pStyle w:val="TableParagraph"/>
              <w:ind w:left="10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1F3863"/>
                <w:w w:val="100"/>
                <w:sz w:val="22"/>
              </w:rPr>
              <w:t></w:t>
            </w:r>
          </w:p>
        </w:tc>
      </w:tr>
      <w:tr>
        <w:trPr>
          <w:trHeight w:val="534" w:hRule="atLeast"/>
        </w:trPr>
        <w:tc>
          <w:tcPr>
            <w:tcW w:w="8541" w:type="dxa"/>
            <w:tcBorders>
              <w:bottom w:val="nil"/>
            </w:tcBorders>
          </w:tcPr>
          <w:p>
            <w:pPr>
              <w:pStyle w:val="TableParagraph"/>
              <w:rPr>
                <w:rFonts w:ascii="Trebuchet MS"/>
                <w:sz w:val="23"/>
              </w:rPr>
            </w:pPr>
          </w:p>
          <w:p>
            <w:pPr>
              <w:pStyle w:val="TableParagraph"/>
              <w:spacing w:line="246" w:lineRule="exact" w:before="1"/>
              <w:ind w:left="110"/>
              <w:rPr>
                <w:b/>
                <w:sz w:val="22"/>
              </w:rPr>
            </w:pPr>
            <w:r>
              <w:rPr>
                <w:b/>
                <w:color w:val="1F3863"/>
                <w:sz w:val="22"/>
                <w:u w:val="single" w:color="1F3863"/>
              </w:rPr>
              <w:t>Pulizia e disinfezione</w:t>
            </w:r>
          </w:p>
        </w:tc>
        <w:tc>
          <w:tcPr>
            <w:tcW w:w="108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1" w:hRule="atLeast"/>
        </w:trPr>
        <w:tc>
          <w:tcPr>
            <w:tcW w:w="85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b/>
                <w:color w:val="1F3863"/>
                <w:sz w:val="22"/>
              </w:rPr>
              <w:t>Regolare e frequente </w:t>
            </w:r>
            <w:r>
              <w:rPr>
                <w:color w:val="1F3863"/>
                <w:sz w:val="22"/>
              </w:rPr>
              <w:t>pulizia e disinfezione delle </w:t>
            </w:r>
            <w:r>
              <w:rPr>
                <w:b/>
                <w:color w:val="1F3863"/>
                <w:sz w:val="22"/>
              </w:rPr>
              <w:t>aree comuni </w:t>
            </w:r>
            <w:r>
              <w:rPr>
                <w:color w:val="1F3863"/>
                <w:sz w:val="22"/>
              </w:rPr>
              <w:t>(spogliatoi, cabine, docce,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0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1F3863"/>
                <w:w w:val="100"/>
                <w:sz w:val="22"/>
              </w:rPr>
              <w:t></w:t>
            </w:r>
          </w:p>
        </w:tc>
      </w:tr>
      <w:tr>
        <w:trPr>
          <w:trHeight w:val="368" w:hRule="atLeast"/>
        </w:trPr>
        <w:tc>
          <w:tcPr>
            <w:tcW w:w="85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color w:val="1F3863"/>
                <w:sz w:val="22"/>
              </w:rPr>
              <w:t>servizi igienici, etc.) e </w:t>
            </w:r>
            <w:r>
              <w:rPr>
                <w:rFonts w:ascii="Trebuchet MS" w:hAnsi="Trebuchet MS"/>
                <w:color w:val="1F3863"/>
                <w:sz w:val="22"/>
              </w:rPr>
              <w:t>comunque assicurata dopo la chiusura dell’impianto</w:t>
            </w:r>
            <w:r>
              <w:rPr>
                <w:color w:val="1F3863"/>
                <w:sz w:val="22"/>
              </w:rPr>
              <w:t>.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85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left="110"/>
              <w:rPr>
                <w:b/>
                <w:sz w:val="22"/>
              </w:rPr>
            </w:pPr>
            <w:r>
              <w:rPr>
                <w:color w:val="1F3863"/>
                <w:sz w:val="22"/>
              </w:rPr>
              <w:t>Le </w:t>
            </w:r>
            <w:r>
              <w:rPr>
                <w:b/>
                <w:color w:val="1F3863"/>
                <w:sz w:val="22"/>
              </w:rPr>
              <w:t>attrezzature </w:t>
            </w:r>
            <w:r>
              <w:rPr>
                <w:color w:val="1F3863"/>
                <w:sz w:val="22"/>
              </w:rPr>
              <w:t>come (ad es. lettini, sedie a sdraio, ombrelloni etc.) </w:t>
            </w:r>
            <w:r>
              <w:rPr>
                <w:b/>
                <w:color w:val="1F3863"/>
                <w:sz w:val="22"/>
              </w:rPr>
              <w:t>vanno disinfettati ad ogni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5"/>
              <w:ind w:left="10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1F3863"/>
                <w:w w:val="100"/>
                <w:sz w:val="22"/>
              </w:rPr>
              <w:t></w:t>
            </w:r>
          </w:p>
        </w:tc>
      </w:tr>
      <w:tr>
        <w:trPr>
          <w:trHeight w:val="268" w:hRule="atLeast"/>
        </w:trPr>
        <w:tc>
          <w:tcPr>
            <w:tcW w:w="85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b/>
                <w:color w:val="1F3863"/>
                <w:sz w:val="22"/>
              </w:rPr>
              <w:t>cambio di persona o nucleo famigliare</w:t>
            </w:r>
            <w:r>
              <w:rPr>
                <w:color w:val="1F3863"/>
                <w:sz w:val="22"/>
              </w:rPr>
              <w:t>.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8541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color w:val="1F3863"/>
                <w:sz w:val="22"/>
              </w:rPr>
              <w:t>In ogni caso, la sanificazione deve essere </w:t>
            </w:r>
            <w:r>
              <w:rPr>
                <w:b/>
                <w:color w:val="1F3863"/>
                <w:sz w:val="22"/>
              </w:rPr>
              <w:t>garantita a ogni fine giornata.</w:t>
            </w: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28" w:hRule="atLeast"/>
        </w:trPr>
        <w:tc>
          <w:tcPr>
            <w:tcW w:w="8541" w:type="dxa"/>
            <w:tcBorders>
              <w:bottom w:val="nil"/>
            </w:tcBorders>
          </w:tcPr>
          <w:p>
            <w:pPr>
              <w:pStyle w:val="TableParagraph"/>
              <w:rPr>
                <w:rFonts w:ascii="Trebuchet MS"/>
                <w:sz w:val="23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color w:val="1F3863"/>
                <w:sz w:val="22"/>
                <w:u w:val="single" w:color="1F3863"/>
              </w:rPr>
              <w:t>Attività ludico sportive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rFonts w:ascii="Trebuchet MS" w:hAnsi="Trebuchet MS"/>
                <w:color w:val="1F3863"/>
                <w:sz w:val="22"/>
              </w:rPr>
              <w:t>E’ </w:t>
            </w:r>
            <w:r>
              <w:rPr>
                <w:color w:val="1F3863"/>
                <w:sz w:val="22"/>
              </w:rPr>
              <w:t>da </w:t>
            </w:r>
            <w:r>
              <w:rPr>
                <w:b/>
                <w:color w:val="1F3863"/>
                <w:sz w:val="22"/>
              </w:rPr>
              <w:t>vietare </w:t>
            </w:r>
            <w:r>
              <w:rPr>
                <w:color w:val="1F3863"/>
                <w:sz w:val="22"/>
              </w:rPr>
              <w:t>la pratica di attività ludico-sportive di gruppo che possono dar luogo ad assembramenti.</w:t>
            </w:r>
          </w:p>
        </w:tc>
        <w:tc>
          <w:tcPr>
            <w:tcW w:w="1089" w:type="dxa"/>
            <w:tcBorders>
              <w:bottom w:val="nil"/>
            </w:tcBorders>
          </w:tcPr>
          <w:p>
            <w:pPr>
              <w:pStyle w:val="TableParagraph"/>
              <w:rPr>
                <w:rFonts w:ascii="Trebuchet MS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rebuchet MS"/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1F3863"/>
                <w:w w:val="100"/>
                <w:sz w:val="22"/>
              </w:rPr>
              <w:t></w:t>
            </w:r>
          </w:p>
        </w:tc>
      </w:tr>
      <w:tr>
        <w:trPr>
          <w:trHeight w:val="1457" w:hRule="atLeast"/>
        </w:trPr>
        <w:tc>
          <w:tcPr>
            <w:tcW w:w="8541" w:type="dxa"/>
            <w:tcBorders>
              <w:top w:val="nil"/>
            </w:tcBorders>
          </w:tcPr>
          <w:p>
            <w:pPr>
              <w:pStyle w:val="TableParagraph"/>
              <w:spacing w:before="114"/>
              <w:ind w:left="110" w:right="90"/>
              <w:jc w:val="both"/>
              <w:rPr>
                <w:sz w:val="22"/>
              </w:rPr>
            </w:pPr>
            <w:r>
              <w:rPr>
                <w:color w:val="1F3863"/>
                <w:sz w:val="22"/>
              </w:rPr>
              <w:t>Gli </w:t>
            </w:r>
            <w:r>
              <w:rPr>
                <w:b/>
                <w:color w:val="1F3863"/>
                <w:sz w:val="22"/>
              </w:rPr>
              <w:t>sport individua</w:t>
            </w:r>
            <w:r>
              <w:rPr>
                <w:color w:val="1F3863"/>
                <w:sz w:val="22"/>
              </w:rPr>
              <w:t>li che si svolgono abitualmente in spiaggia (es. racchettoni) o in acqua (es. nuoto, surf, windsurf, kitesurf) </w:t>
            </w:r>
            <w:r>
              <w:rPr>
                <w:b/>
                <w:color w:val="1F3863"/>
                <w:sz w:val="22"/>
              </w:rPr>
              <w:t>possono essere regolarmente praticati, nel rispetto delle misure di distanziamento interpersonale</w:t>
            </w:r>
            <w:r>
              <w:rPr>
                <w:color w:val="1F3863"/>
                <w:sz w:val="22"/>
              </w:rPr>
              <w:t>. Diversamente, per gli sport di squadra (es. beach- volley, beach-soccer) sarà necessario rispettare le disposizioni delle istituzioni competenti</w:t>
            </w: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rFonts w:ascii="Trebuchet MS"/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1F3863"/>
                <w:w w:val="100"/>
                <w:sz w:val="22"/>
              </w:rPr>
              <w:t></w:t>
            </w:r>
          </w:p>
        </w:tc>
      </w:tr>
    </w:tbl>
    <w:sectPr>
      <w:pgSz w:w="11910" w:h="16840"/>
      <w:pgMar w:header="265" w:footer="920" w:top="1660" w:bottom="11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90015pt;margin-top:780.895996pt;width:11.6pt;height:13.05pt;mso-position-horizontal-relative:page;mso-position-vertical-relative:page;z-index:-1583360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1856">
          <wp:simplePos x="0" y="0"/>
          <wp:positionH relativeFrom="page">
            <wp:posOffset>5842000</wp:posOffset>
          </wp:positionH>
          <wp:positionV relativeFrom="page">
            <wp:posOffset>168274</wp:posOffset>
          </wp:positionV>
          <wp:extent cx="1020432" cy="65722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0432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2368">
          <wp:simplePos x="0" y="0"/>
          <wp:positionH relativeFrom="page">
            <wp:posOffset>628650</wp:posOffset>
          </wp:positionH>
          <wp:positionV relativeFrom="page">
            <wp:posOffset>262254</wp:posOffset>
          </wp:positionV>
          <wp:extent cx="1388364" cy="54610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8364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245" w:lineRule="exact"/>
      <w:ind w:left="60"/>
    </w:pPr>
    <w:rPr>
      <w:rFonts w:ascii="Carlito" w:hAnsi="Carlito" w:eastAsia="Carlito" w:cs="Carlito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arealgale</dc:creator>
  <dcterms:created xsi:type="dcterms:W3CDTF">2020-06-19T15:26:48Z</dcterms:created>
  <dcterms:modified xsi:type="dcterms:W3CDTF">2020-06-19T15:26:48Z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2020-06-19T00:00:00Z</vt:filetime>
  </property>
</Properties>
</file>